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B" w:rsidRDefault="0046336B" w:rsidP="0046336B">
      <w:pPr>
        <w:pStyle w:val="Titolo1"/>
        <w:numPr>
          <w:ilvl w:val="0"/>
          <w:numId w:val="0"/>
        </w:numPr>
        <w:spacing w:line="100" w:lineRule="atLeast"/>
        <w:jc w:val="both"/>
      </w:pPr>
      <w:r>
        <w:t xml:space="preserve">Gruppo di studio Information </w:t>
      </w:r>
      <w:proofErr w:type="spellStart"/>
      <w:r>
        <w:t>literacy</w:t>
      </w:r>
      <w:proofErr w:type="spellEnd"/>
      <w:r>
        <w:t xml:space="preserve"> – Proposta di lavoro per il triennio 2011-2014</w:t>
      </w:r>
    </w:p>
    <w:p w:rsidR="0046336B" w:rsidRDefault="0046336B" w:rsidP="0046336B">
      <w:pPr>
        <w:spacing w:line="100" w:lineRule="atLeast"/>
        <w:jc w:val="both"/>
      </w:pPr>
    </w:p>
    <w:p w:rsidR="0046336B" w:rsidRDefault="0046336B" w:rsidP="0046336B">
      <w:pPr>
        <w:spacing w:line="100" w:lineRule="atLeast"/>
        <w:jc w:val="both"/>
      </w:pPr>
      <w:r>
        <w:t xml:space="preserve">Il gruppo si propone di sviluppare una </w:t>
      </w:r>
      <w:r>
        <w:rPr>
          <w:u w:val="single"/>
        </w:rPr>
        <w:t xml:space="preserve">riflessione “italiana” sull’information </w:t>
      </w:r>
      <w:proofErr w:type="spellStart"/>
      <w:r>
        <w:rPr>
          <w:u w:val="single"/>
        </w:rPr>
        <w:t>literacy</w:t>
      </w:r>
      <w:proofErr w:type="spellEnd"/>
      <w:r>
        <w:t xml:space="preserve"> che evidenzi le peculiarità delle azioni di information </w:t>
      </w:r>
      <w:proofErr w:type="spellStart"/>
      <w:r>
        <w:t>literacy</w:t>
      </w:r>
      <w:proofErr w:type="spellEnd"/>
      <w:r>
        <w:t xml:space="preserve"> che si realizzano in Italia, in modo da portare al contesto internazionale i contenuti di valore che nel nostro territorio si sviluppano attraverso esperienze di educazione all’informazione. </w:t>
      </w:r>
    </w:p>
    <w:p w:rsidR="0046336B" w:rsidRDefault="0046336B" w:rsidP="0046336B">
      <w:pPr>
        <w:spacing w:line="100" w:lineRule="atLeast"/>
        <w:jc w:val="both"/>
      </w:pPr>
    </w:p>
    <w:p w:rsidR="0046336B" w:rsidRDefault="0046336B" w:rsidP="0046336B">
      <w:pPr>
        <w:spacing w:line="100" w:lineRule="atLeast"/>
        <w:jc w:val="both"/>
      </w:pPr>
      <w:r>
        <w:t>Gli obiettivi principali del gruppo di studio sono:</w:t>
      </w:r>
    </w:p>
    <w:p w:rsidR="0046336B" w:rsidRDefault="0046336B" w:rsidP="0046336B">
      <w:pPr>
        <w:spacing w:line="100" w:lineRule="atLeast"/>
        <w:jc w:val="both"/>
      </w:pPr>
    </w:p>
    <w:p w:rsidR="0046336B" w:rsidRDefault="0046336B" w:rsidP="0046336B">
      <w:pPr>
        <w:numPr>
          <w:ilvl w:val="0"/>
          <w:numId w:val="2"/>
        </w:numPr>
        <w:spacing w:line="100" w:lineRule="atLeast"/>
        <w:jc w:val="both"/>
      </w:pPr>
      <w:r>
        <w:t xml:space="preserve">identificare un </w:t>
      </w:r>
      <w:r>
        <w:rPr>
          <w:u w:val="single"/>
        </w:rPr>
        <w:t xml:space="preserve">concetto condiviso di information </w:t>
      </w:r>
      <w:proofErr w:type="spellStart"/>
      <w:r>
        <w:rPr>
          <w:u w:val="single"/>
        </w:rPr>
        <w:t>literacy</w:t>
      </w:r>
      <w:proofErr w:type="spellEnd"/>
      <w:r>
        <w:rPr>
          <w:u w:val="single"/>
        </w:rPr>
        <w:t xml:space="preserve"> che evidenzi la </w:t>
      </w:r>
      <w:proofErr w:type="spellStart"/>
      <w:r>
        <w:rPr>
          <w:u w:val="single"/>
        </w:rPr>
        <w:t>moltrplicità</w:t>
      </w:r>
      <w:proofErr w:type="spellEnd"/>
      <w:r>
        <w:rPr>
          <w:u w:val="single"/>
        </w:rPr>
        <w:t xml:space="preserve"> con cui</w:t>
      </w:r>
      <w:r>
        <w:t xml:space="preserve"> questo contenuto si declina nelle varie realtà in cui le azioni educative si esplicano (mondo della scuola, dell’università, del </w:t>
      </w:r>
      <w:proofErr w:type="spellStart"/>
      <w:r>
        <w:t>lavoro…</w:t>
      </w:r>
      <w:proofErr w:type="spellEnd"/>
      <w:r>
        <w:t xml:space="preserve">) e si ricolleghi alla tradizione </w:t>
      </w:r>
      <w:proofErr w:type="spellStart"/>
      <w:r>
        <w:t>biblioteconomica</w:t>
      </w:r>
      <w:proofErr w:type="spellEnd"/>
      <w:r>
        <w:t xml:space="preserve"> italiana, con particolare riferimento alle definizioni di informazione e di documento.</w:t>
      </w:r>
    </w:p>
    <w:p w:rsidR="0046336B" w:rsidRDefault="0046336B" w:rsidP="0046336B">
      <w:pPr>
        <w:spacing w:line="100" w:lineRule="atLeast"/>
        <w:jc w:val="both"/>
      </w:pPr>
      <w:r>
        <w:t>In questo senso si intende proporre una lettura dell’</w:t>
      </w:r>
      <w:r>
        <w:rPr>
          <w:i/>
        </w:rPr>
        <w:t xml:space="preserve">information </w:t>
      </w:r>
      <w:proofErr w:type="spellStart"/>
      <w:r>
        <w:rPr>
          <w:i/>
        </w:rPr>
        <w:t>literacy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>,</w:t>
      </w:r>
      <w:r>
        <w:t xml:space="preserve"> intesa come un superamento del mero sviluppo di competenze e </w:t>
      </w:r>
      <w:r>
        <w:rPr>
          <w:i/>
        </w:rPr>
        <w:t xml:space="preserve">information </w:t>
      </w:r>
      <w:proofErr w:type="spellStart"/>
      <w:r>
        <w:rPr>
          <w:i/>
        </w:rPr>
        <w:t>skill</w:t>
      </w:r>
      <w:proofErr w:type="spellEnd"/>
      <w:r>
        <w:t xml:space="preserve"> (ACRL, 2001, trad.: AIB, 2003), che apra  invece ad una visione più complessa di tipo relazionale (Bruce, 1997) e riconduca la ricerca documentale alla sua dimensione di processo di apprendimento continuo (</w:t>
      </w:r>
      <w:proofErr w:type="spellStart"/>
      <w:r>
        <w:t>Kuhlthau</w:t>
      </w:r>
      <w:proofErr w:type="spellEnd"/>
      <w:r>
        <w:t>, 2004). Questa visione dovrà ovviamente essere discussa, elaborata e proposta alla comunità dei bibliotecari per confronti e suggerimenti;</w:t>
      </w:r>
    </w:p>
    <w:p w:rsidR="0046336B" w:rsidRDefault="0046336B" w:rsidP="0046336B">
      <w:pPr>
        <w:spacing w:line="100" w:lineRule="atLeast"/>
        <w:jc w:val="both"/>
      </w:pPr>
    </w:p>
    <w:p w:rsidR="0046336B" w:rsidRDefault="0046336B" w:rsidP="0046336B">
      <w:pPr>
        <w:numPr>
          <w:ilvl w:val="0"/>
          <w:numId w:val="3"/>
        </w:numPr>
        <w:spacing w:line="100" w:lineRule="atLeast"/>
        <w:jc w:val="both"/>
      </w:pPr>
      <w:r>
        <w:t xml:space="preserve">valorizzare le </w:t>
      </w:r>
      <w:r>
        <w:rPr>
          <w:u w:val="single"/>
        </w:rPr>
        <w:t>peculiarità del ruolo del bibliotecario</w:t>
      </w:r>
      <w:r>
        <w:t xml:space="preserve"> nello svolgere azioni di educazione all’informazione, accanto ad altri attori che operano in questo ambito (come gli insegnanti), e delineare un </w:t>
      </w:r>
      <w:r>
        <w:rPr>
          <w:u w:val="single"/>
        </w:rPr>
        <w:t>profilo del bibliotecario-educatore all’informazione</w:t>
      </w:r>
      <w:r>
        <w:t xml:space="preserve"> che fondi sulle competenze in territori </w:t>
      </w:r>
      <w:proofErr w:type="spellStart"/>
      <w:r>
        <w:t>informativo-documentali</w:t>
      </w:r>
      <w:proofErr w:type="spellEnd"/>
      <w:r>
        <w:t xml:space="preserve"> che gli sono peculiari;</w:t>
      </w:r>
    </w:p>
    <w:p w:rsidR="0046336B" w:rsidRDefault="0046336B" w:rsidP="0046336B">
      <w:pPr>
        <w:spacing w:line="100" w:lineRule="atLeast"/>
        <w:jc w:val="both"/>
      </w:pPr>
    </w:p>
    <w:p w:rsidR="0046336B" w:rsidRDefault="0046336B" w:rsidP="0046336B">
      <w:pPr>
        <w:numPr>
          <w:ilvl w:val="0"/>
          <w:numId w:val="4"/>
        </w:numPr>
        <w:spacing w:line="100" w:lineRule="atLeast"/>
        <w:jc w:val="both"/>
      </w:pPr>
      <w:r>
        <w:t xml:space="preserve">predisporre il monitoraggio, la </w:t>
      </w:r>
      <w:r>
        <w:rPr>
          <w:u w:val="single"/>
        </w:rPr>
        <w:t xml:space="preserve">raccolta sistematica e pubblicazione di dati sulle azioni di information </w:t>
      </w:r>
      <w:proofErr w:type="spellStart"/>
      <w:r>
        <w:rPr>
          <w:u w:val="single"/>
        </w:rPr>
        <w:t>literacy</w:t>
      </w:r>
      <w:proofErr w:type="spellEnd"/>
      <w:r>
        <w:t xml:space="preserve"> messe in atto dalle biblioteche italiane, che consentano  di confrontarsi con attività che, pur accomunate dalla stessa definizione, corrispondono in realtà ad  azioni diverse  che vanno identificate e descritte come tali (educazione degli utenti all’uso della biblioteca, istruzione all’impiego di banche dati e strumenti, insegnamento della metodologia del processo di ricerca, corsi all’uso consapevole di </w:t>
      </w:r>
      <w:proofErr w:type="spellStart"/>
      <w:r>
        <w:t>Internet…</w:t>
      </w:r>
      <w:proofErr w:type="spellEnd"/>
      <w:r>
        <w:t>). Questo a fronte di indagini già esistenti ma parziali perché principalmente incentrate su alcune specifiche realtà, in particolare quelle universitarie.</w:t>
      </w:r>
    </w:p>
    <w:p w:rsidR="0046336B" w:rsidRDefault="0046336B" w:rsidP="0046336B">
      <w:pPr>
        <w:spacing w:line="100" w:lineRule="atLeast"/>
        <w:jc w:val="both"/>
      </w:pPr>
    </w:p>
    <w:p w:rsidR="0046336B" w:rsidRDefault="0046336B" w:rsidP="0046336B">
      <w:pPr>
        <w:numPr>
          <w:ilvl w:val="0"/>
          <w:numId w:val="5"/>
        </w:numPr>
        <w:spacing w:line="100" w:lineRule="atLeast"/>
        <w:jc w:val="both"/>
      </w:pPr>
      <w:r>
        <w:t xml:space="preserve">identificare </w:t>
      </w:r>
      <w:r>
        <w:rPr>
          <w:u w:val="single"/>
        </w:rPr>
        <w:t xml:space="preserve">azioni comunicative verso i non-bibliotecari (insegnanti, amministratori locali, </w:t>
      </w:r>
      <w:proofErr w:type="spellStart"/>
      <w:r>
        <w:rPr>
          <w:u w:val="single"/>
        </w:rPr>
        <w:t>decisori…</w:t>
      </w:r>
      <w:proofErr w:type="spellEnd"/>
      <w:r>
        <w:rPr>
          <w:u w:val="single"/>
        </w:rPr>
        <w:t>)</w:t>
      </w:r>
      <w:r>
        <w:t>, per sottolineare l’importanza che l’educare a documentarsi riveste per tutti i cittadini, con riferimento soprattutto alla formazione permanente. Le  azioni individuate sono:</w:t>
      </w:r>
    </w:p>
    <w:p w:rsidR="0046336B" w:rsidRDefault="0046336B" w:rsidP="0046336B">
      <w:pPr>
        <w:spacing w:line="100" w:lineRule="atLeast"/>
        <w:jc w:val="both"/>
      </w:pPr>
    </w:p>
    <w:p w:rsidR="0046336B" w:rsidRDefault="0046336B" w:rsidP="0046336B">
      <w:pPr>
        <w:numPr>
          <w:ilvl w:val="0"/>
          <w:numId w:val="6"/>
        </w:numPr>
        <w:spacing w:line="100" w:lineRule="atLeast"/>
        <w:ind w:left="708"/>
        <w:jc w:val="both"/>
      </w:pPr>
      <w:r>
        <w:t xml:space="preserve">la </w:t>
      </w:r>
      <w:r>
        <w:rPr>
          <w:u w:val="single"/>
        </w:rPr>
        <w:t>traduzione</w:t>
      </w:r>
      <w:r>
        <w:t xml:space="preserve">, </w:t>
      </w:r>
      <w:r>
        <w:rPr>
          <w:u w:val="single"/>
        </w:rPr>
        <w:t xml:space="preserve">in collaborazione con la rappresentanza italiana IFLA nella Information </w:t>
      </w:r>
      <w:proofErr w:type="spellStart"/>
      <w:r>
        <w:rPr>
          <w:u w:val="single"/>
        </w:rPr>
        <w:t>Literacy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Section</w:t>
      </w:r>
      <w:proofErr w:type="spellEnd"/>
      <w:r>
        <w:t xml:space="preserve">, del documento di IFLA </w:t>
      </w:r>
      <w:proofErr w:type="spellStart"/>
      <w:r>
        <w:rPr>
          <w:i/>
        </w:rPr>
        <w:t>Guidelines</w:t>
      </w:r>
      <w:proofErr w:type="spellEnd"/>
      <w:r>
        <w:rPr>
          <w:i/>
        </w:rPr>
        <w:t xml:space="preserve"> on IL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life-long </w:t>
      </w:r>
      <w:proofErr w:type="spellStart"/>
      <w:r>
        <w:rPr>
          <w:i/>
        </w:rPr>
        <w:t>learning</w:t>
      </w:r>
      <w:proofErr w:type="spellEnd"/>
      <w:r>
        <w:t xml:space="preserve">, 2006 e la relativa presentazione sul territorio nazionale (in collaborazione con le sezioni locali). </w:t>
      </w:r>
    </w:p>
    <w:p w:rsidR="0046336B" w:rsidRDefault="0046336B" w:rsidP="0046336B">
      <w:pPr>
        <w:numPr>
          <w:ilvl w:val="0"/>
          <w:numId w:val="7"/>
        </w:numPr>
        <w:spacing w:line="100" w:lineRule="atLeast"/>
        <w:ind w:left="708"/>
        <w:jc w:val="both"/>
      </w:pPr>
      <w:r>
        <w:t xml:space="preserve">la  redazione una </w:t>
      </w:r>
      <w:r>
        <w:rPr>
          <w:u w:val="single"/>
        </w:rPr>
        <w:t>pubblicazione</w:t>
      </w:r>
      <w:r>
        <w:t xml:space="preserve"> italiana di </w:t>
      </w:r>
      <w:r>
        <w:rPr>
          <w:u w:val="single"/>
        </w:rPr>
        <w:t xml:space="preserve">Linee guida AIB per l’information </w:t>
      </w:r>
      <w:proofErr w:type="spellStart"/>
      <w:r>
        <w:rPr>
          <w:u w:val="single"/>
        </w:rPr>
        <w:t>literacy</w:t>
      </w:r>
      <w:proofErr w:type="spellEnd"/>
      <w:r>
        <w:rPr>
          <w:u w:val="single"/>
        </w:rPr>
        <w:t xml:space="preserve"> nelle biblioteche italiane</w:t>
      </w:r>
      <w:r>
        <w:t xml:space="preserve">, che riflettano la visione di information </w:t>
      </w:r>
      <w:proofErr w:type="spellStart"/>
      <w:r>
        <w:t>literacy</w:t>
      </w:r>
      <w:proofErr w:type="spellEnd"/>
      <w:r>
        <w:t xml:space="preserve"> identificata dal gruppo e condivisa con i bibliotecari italiani e traducano la lezione delle esperienze di eccellenza raccolte nell’indagine e nei dati raccolti sopra citati nei differenti contesti di biblioteca.</w:t>
      </w:r>
    </w:p>
    <w:p w:rsidR="0046336B" w:rsidRDefault="0046336B" w:rsidP="0046336B">
      <w:pPr>
        <w:numPr>
          <w:ilvl w:val="0"/>
          <w:numId w:val="8"/>
        </w:numPr>
        <w:spacing w:line="100" w:lineRule="atLeast"/>
        <w:ind w:left="708"/>
        <w:jc w:val="both"/>
      </w:pPr>
      <w:r>
        <w:t xml:space="preserve">l'organizzazione (senza costi aggiuntivi), </w:t>
      </w:r>
      <w:r>
        <w:rPr>
          <w:u w:val="single"/>
        </w:rPr>
        <w:t>in collaborazione con le Sezioni AIB locali</w:t>
      </w:r>
      <w:r>
        <w:t xml:space="preserve"> , di </w:t>
      </w:r>
      <w:r>
        <w:rPr>
          <w:u w:val="single"/>
        </w:rPr>
        <w:t xml:space="preserve">momenti di formazione per bibliotecari soci AIB che riguardino l’information </w:t>
      </w:r>
      <w:proofErr w:type="spellStart"/>
      <w:r>
        <w:rPr>
          <w:u w:val="single"/>
        </w:rPr>
        <w:t>literacy</w:t>
      </w:r>
      <w:proofErr w:type="spellEnd"/>
      <w:r>
        <w:t>, per diffondere, valorizzare e rafforzare il ruolo dei bibliotecari come formatori nell’educazione all’informazione dei propri utenti.</w:t>
      </w:r>
    </w:p>
    <w:p w:rsidR="0046336B" w:rsidRDefault="0046336B" w:rsidP="0046336B">
      <w:pPr>
        <w:spacing w:line="100" w:lineRule="atLeast"/>
        <w:jc w:val="both"/>
      </w:pPr>
    </w:p>
    <w:p w:rsidR="0046336B" w:rsidRDefault="0046336B" w:rsidP="0046336B">
      <w:pPr>
        <w:spacing w:line="100" w:lineRule="atLeast"/>
        <w:jc w:val="both"/>
      </w:pPr>
    </w:p>
    <w:p w:rsidR="00B47600" w:rsidRPr="0046336B" w:rsidRDefault="00B47600">
      <w:pPr>
        <w:rPr>
          <w:lang w:val="en-GB"/>
        </w:rPr>
      </w:pPr>
    </w:p>
    <w:sectPr w:rsidR="00B47600" w:rsidRPr="0046336B">
      <w:footnotePr>
        <w:pos w:val="beneathText"/>
      </w:footnotePr>
      <w:pgSz w:w="11905" w:h="16837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334F71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BD1C4B4E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46336B"/>
    <w:rsid w:val="0046336B"/>
    <w:rsid w:val="00B4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e">
    <w:name w:val="Normal"/>
    <w:qFormat/>
    <w:rsid w:val="0046336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6336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Titolo3">
    <w:name w:val="heading 3"/>
    <w:basedOn w:val="Normale"/>
    <w:next w:val="Normale"/>
    <w:link w:val="Titolo3Carattere"/>
    <w:qFormat/>
    <w:rsid w:val="0046336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336B"/>
    <w:rPr>
      <w:rFonts w:ascii="Arial" w:eastAsia="Times New Roman" w:hAnsi="Arial" w:cs="Times New Roman"/>
      <w:b/>
      <w:kern w:val="1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6336B"/>
    <w:rPr>
      <w:rFonts w:ascii="Arial" w:eastAsia="Times New Roman" w:hAnsi="Arial" w:cs="Times New Roman"/>
      <w:b/>
      <w:sz w:val="26"/>
      <w:szCs w:val="20"/>
      <w:lang w:eastAsia="it-IT"/>
    </w:rPr>
  </w:style>
  <w:style w:type="paragraph" w:styleId="Bibliografia">
    <w:name w:val="Bibliography"/>
    <w:basedOn w:val="Normale"/>
    <w:rsid w:val="0046336B"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Company>Dip.to di Scienze Economiche Universita' di Padova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2012-07-24T12:41:00Z</dcterms:created>
  <dcterms:modified xsi:type="dcterms:W3CDTF">2012-07-24T12:43:00Z</dcterms:modified>
</cp:coreProperties>
</file>